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2"/>
        <w:rPr>
          <w:i w:val="0"/>
        </w:rPr>
      </w:pPr>
      <w:bookmarkStart w:id="0" w:name="_Toc420589155"/>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1"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1"/>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proofErr w:type="gramStart"/>
      <w:r w:rsidRPr="0028510E">
        <w:rPr>
          <w:i/>
          <w:sz w:val="22"/>
          <w:szCs w:val="22"/>
          <w:lang w:val="ru-RU"/>
        </w:rPr>
        <w:t>направляется  для</w:t>
      </w:r>
      <w:proofErr w:type="gramEnd"/>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470793"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470793"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470793"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470793"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2"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2"/>
          </w:p>
          <w:p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af1"/>
              <w:ind w:left="0"/>
              <w:rPr>
                <w:b/>
                <w:sz w:val="22"/>
                <w:szCs w:val="22"/>
              </w:rPr>
            </w:pPr>
            <w:r>
              <w:rPr>
                <w:sz w:val="22"/>
                <w:szCs w:val="22"/>
              </w:rPr>
              <w:t>Explanatory note to the accounting statements (soft copy)</w:t>
            </w:r>
          </w:p>
          <w:p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af1"/>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af1"/>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af1"/>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470793"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470793"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lastRenderedPageBreak/>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470793"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Даю согласие АО «</w:t>
            </w:r>
            <w:r w:rsidRPr="00470793">
              <w:rPr>
                <w:lang w:val="ru-RU"/>
              </w:rPr>
              <w:t>КТК-</w:t>
            </w:r>
            <w:r w:rsidR="00470793" w:rsidRPr="00470793">
              <w:rPr>
                <w:lang w:val="ru-RU"/>
              </w:rPr>
              <w:t>К</w:t>
            </w:r>
            <w:r w:rsidRPr="00C74ECB">
              <w:rPr>
                <w:lang w:val="ru-RU"/>
              </w:rPr>
              <w:t xml:space="preserve">»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w:t>
            </w:r>
            <w:bookmarkStart w:id="3" w:name="_GoBack"/>
            <w:bookmarkEnd w:id="3"/>
            <w:r w:rsidRPr="00E0297D">
              <w:rPr>
                <w:lang w:val="ru-RU"/>
              </w:rPr>
              <w:t>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 xml:space="preserve">I hereby acknowledge and certify that, if any data specified herein and/or personal data need to be provided in order to achieve the aforesaid objectives, CPC may disclose data specified </w:t>
            </w:r>
            <w:r>
              <w:lastRenderedPageBreak/>
              <w:t>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af1"/>
              <w:ind w:left="900"/>
              <w:rPr>
                <w:lang w:eastAsia="ru-RU"/>
              </w:rPr>
            </w:pPr>
          </w:p>
          <w:p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af1"/>
              <w:rPr>
                <w:lang w:eastAsia="ru-RU"/>
              </w:rPr>
            </w:pPr>
          </w:p>
          <w:p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af1"/>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381" w:rsidRDefault="00D71381">
      <w:r>
        <w:separator/>
      </w:r>
    </w:p>
  </w:endnote>
  <w:endnote w:type="continuationSeparator" w:id="0">
    <w:p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381" w:rsidRDefault="00D71381">
      <w:r>
        <w:separator/>
      </w:r>
    </w:p>
  </w:footnote>
  <w:footnote w:type="continuationSeparator" w:id="0">
    <w:p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a9"/>
    </w:pPr>
  </w:p>
  <w:p w:rsidR="00D71381" w:rsidRPr="00A91D75" w:rsidRDefault="00D71381" w:rsidP="00A91D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0793"/>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34C4"/>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6C9"/>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68AC1C9"/>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4" ma:contentTypeDescription="Create a new document." ma:contentTypeScope="" ma:versionID="0276ef8e6a621c5074570787673c1ebf">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0d120fe090819fec518317dcefd6c6d0"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2.xml><?xml version="1.0" encoding="utf-8"?>
<ds:datastoreItem xmlns:ds="http://schemas.openxmlformats.org/officeDocument/2006/customXml" ds:itemID="{9E5038EA-D8A4-4E79-A408-1BE8C170ECE5}">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3.xml><?xml version="1.0" encoding="utf-8"?>
<ds:datastoreItem xmlns:ds="http://schemas.openxmlformats.org/officeDocument/2006/customXml" ds:itemID="{4756CF99-847B-43C0-A847-635AD791B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5.xml><?xml version="1.0" encoding="utf-8"?>
<ds:datastoreItem xmlns:ds="http://schemas.openxmlformats.org/officeDocument/2006/customXml" ds:itemID="{A6FFDC11-AB0C-404E-8FDD-748EBC4E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2380</Words>
  <Characters>15781</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shum0428</cp:lastModifiedBy>
  <cp:revision>4</cp:revision>
  <cp:lastPrinted>2015-04-14T13:27:00Z</cp:lastPrinted>
  <dcterms:created xsi:type="dcterms:W3CDTF">2019-04-19T08:05:00Z</dcterms:created>
  <dcterms:modified xsi:type="dcterms:W3CDTF">2024-01-09T11:59:00Z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